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387DE9"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7A2BD2">
        <w:rPr>
          <w:rFonts w:ascii="Open Sans" w:hAnsi="Open Sans" w:cs="Open Sans"/>
          <w:sz w:val="22"/>
          <w:szCs w:val="22"/>
        </w:rPr>
        <w:lastRenderedPageBreak/>
        <w:t xml:space="preserve">są stosowane, minister właściwy do spraw rozwoju regionalnego wykonujący zadania państwa członkowskiego, podaje do publicznej wiadomości w trybie określonym w </w:t>
      </w:r>
      <w:r w:rsidRPr="00387DE9">
        <w:rPr>
          <w:rFonts w:ascii="Open Sans" w:hAnsi="Open Sans" w:cs="Open Sans"/>
          <w:sz w:val="22"/>
          <w:szCs w:val="22"/>
        </w:rPr>
        <w:t>art. 5 ust. 5 i 6 ustawy.</w:t>
      </w:r>
    </w:p>
    <w:p w14:paraId="6B14F6A9" w14:textId="54DA8097" w:rsidR="00E95CE0" w:rsidRPr="007A2BD2" w:rsidRDefault="00E95CE0" w:rsidP="00DC53E1">
      <w:pPr>
        <w:spacing w:before="60" w:after="120"/>
        <w:ind w:left="420"/>
        <w:jc w:val="both"/>
        <w:rPr>
          <w:rFonts w:ascii="Open Sans" w:hAnsi="Open Sans" w:cs="Open Sans"/>
          <w:sz w:val="22"/>
          <w:szCs w:val="22"/>
        </w:rPr>
      </w:pPr>
      <w:r w:rsidRPr="00387DE9">
        <w:rPr>
          <w:rFonts w:ascii="Open Sans" w:hAnsi="Open Sans" w:cs="Open Sans"/>
          <w:sz w:val="22"/>
          <w:szCs w:val="22"/>
        </w:rPr>
        <w:t xml:space="preserve">2a Beneficjent </w:t>
      </w:r>
      <w:r w:rsidR="00454498" w:rsidRPr="00387DE9">
        <w:rPr>
          <w:rFonts w:ascii="Open Sans" w:hAnsi="Open Sans" w:cs="Open Sans"/>
          <w:sz w:val="22"/>
          <w:szCs w:val="22"/>
        </w:rPr>
        <w:t>oświadcza, iż w ramach niniejszej umowy nie będą dofinansowane działania ochrony czynnej objęte dopłatami w ramach programów rolno-środowiskowych.</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w:t>
      </w:r>
      <w:r w:rsidR="00627C72" w:rsidRPr="007A2BD2">
        <w:rPr>
          <w:rFonts w:ascii="Open Sans" w:hAnsi="Open Sans" w:cs="Open Sans"/>
          <w:sz w:val="22"/>
          <w:szCs w:val="22"/>
        </w:rPr>
        <w:lastRenderedPageBreak/>
        <w:t>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w:t>
      </w:r>
      <w:r w:rsidRPr="007A2BD2">
        <w:rPr>
          <w:rFonts w:ascii="Open Sans" w:hAnsi="Open Sans" w:cs="Open Sans"/>
          <w:sz w:val="22"/>
          <w:szCs w:val="22"/>
        </w:rPr>
        <w:lastRenderedPageBreak/>
        <w:t xml:space="preserve">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t>
      </w:r>
      <w:r w:rsidR="002C5E1E" w:rsidRPr="007A2BD2">
        <w:rPr>
          <w:rFonts w:ascii="Open Sans" w:hAnsi="Open Sans" w:cs="Open Sans"/>
          <w:sz w:val="22"/>
          <w:szCs w:val="22"/>
        </w:rPr>
        <w:lastRenderedPageBreak/>
        <w:t>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lastRenderedPageBreak/>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xml:space="preserve">/ </w:t>
      </w:r>
      <w:r w:rsidR="00F25F95" w:rsidRPr="007A2BD2">
        <w:rPr>
          <w:rFonts w:ascii="Open Sans" w:hAnsi="Open Sans" w:cs="Open Sans"/>
          <w:spacing w:val="4"/>
          <w:sz w:val="22"/>
          <w:szCs w:val="22"/>
        </w:rPr>
        <w:lastRenderedPageBreak/>
        <w:t>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lastRenderedPageBreak/>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w:t>
      </w:r>
      <w:r w:rsidRPr="007A2BD2">
        <w:rPr>
          <w:rFonts w:ascii="Open Sans" w:hAnsi="Open Sans" w:cs="Open Sans"/>
          <w:sz w:val="22"/>
          <w:szCs w:val="22"/>
        </w:rPr>
        <w:lastRenderedPageBreak/>
        <w:t>przekazane, jest wskazane, że dotyczą finansowania wkładu własnego Beneficjenta w 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 xml:space="preserve">wiążące </w:t>
      </w:r>
      <w:r w:rsidRPr="007A2BD2">
        <w:rPr>
          <w:rFonts w:ascii="Open Sans" w:hAnsi="Open Sans" w:cs="Open Sans"/>
          <w:sz w:val="22"/>
          <w:szCs w:val="22"/>
        </w:rPr>
        <w:lastRenderedPageBreak/>
        <w:t>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płatność </w:t>
      </w:r>
      <w:r w:rsidRPr="007A2BD2">
        <w:rPr>
          <w:rFonts w:ascii="Open Sans" w:hAnsi="Open Sans" w:cs="Open Sans"/>
          <w:sz w:val="22"/>
          <w:szCs w:val="22"/>
        </w:rPr>
        <w:lastRenderedPageBreak/>
        <w:t>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w:t>
      </w:r>
      <w:r w:rsidRPr="007A2BD2">
        <w:rPr>
          <w:rFonts w:ascii="Open Sans" w:hAnsi="Open Sans" w:cs="Open Sans"/>
          <w:sz w:val="22"/>
          <w:szCs w:val="22"/>
        </w:rPr>
        <w:lastRenderedPageBreak/>
        <w:t xml:space="preserve">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 xml:space="preserve">utrwalanie – w szczególności drukiem, zapisem w pamięci komputera i na nośnikach elektronicznych, oraz zwielokrotnianie, </w:t>
      </w:r>
      <w:r w:rsidRPr="007A2BD2">
        <w:rPr>
          <w:rFonts w:ascii="Open Sans" w:hAnsi="Open Sans" w:cs="Open Sans"/>
          <w:sz w:val="22"/>
          <w:szCs w:val="22"/>
        </w:rPr>
        <w:lastRenderedPageBreak/>
        <w:t>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w:t>
      </w:r>
      <w:r w:rsidRPr="007A2BD2">
        <w:rPr>
          <w:rFonts w:ascii="Open Sans" w:hAnsi="Open Sans" w:cs="Open Sans"/>
          <w:sz w:val="22"/>
          <w:szCs w:val="22"/>
        </w:rPr>
        <w:lastRenderedPageBreak/>
        <w:t>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w:t>
      </w:r>
      <w:r w:rsidRPr="007A2BD2">
        <w:rPr>
          <w:rFonts w:ascii="Open Sans" w:hAnsi="Open Sans" w:cs="Open Sans"/>
          <w:sz w:val="22"/>
          <w:szCs w:val="22"/>
        </w:rPr>
        <w:lastRenderedPageBreak/>
        <w:t xml:space="preserve">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lastRenderedPageBreak/>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 xml:space="preserve">Instytucja </w:t>
      </w:r>
      <w:r w:rsidR="00A07001" w:rsidRPr="007A2BD2">
        <w:rPr>
          <w:rFonts w:ascii="Open Sans" w:hAnsi="Open Sans" w:cs="Open Sans"/>
          <w:sz w:val="22"/>
          <w:szCs w:val="22"/>
        </w:rPr>
        <w:lastRenderedPageBreak/>
        <w:t>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117A9" w14:textId="77777777" w:rsidR="004E6414" w:rsidRDefault="004E6414">
      <w:r>
        <w:separator/>
      </w:r>
    </w:p>
  </w:endnote>
  <w:endnote w:type="continuationSeparator" w:id="0">
    <w:p w14:paraId="5BA1A63A" w14:textId="77777777" w:rsidR="004E6414" w:rsidRDefault="004E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21224844" w:rsidR="00E95CE0" w:rsidRDefault="00E95CE0"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657EE2">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657EE2">
      <w:rPr>
        <w:rStyle w:val="Numerstrony"/>
        <w:rFonts w:ascii="Arial" w:hAnsi="Arial" w:cs="Arial"/>
        <w:noProof/>
      </w:rPr>
      <w:t>50</w:t>
    </w:r>
    <w:r>
      <w:rPr>
        <w:rStyle w:val="Numerstrony"/>
        <w:rFonts w:ascii="Arial" w:hAnsi="Arial" w:cs="Arial"/>
      </w:rPr>
      <w:fldChar w:fldCharType="end"/>
    </w:r>
  </w:p>
  <w:p w14:paraId="26C9C87C" w14:textId="77777777" w:rsidR="00E95CE0" w:rsidRDefault="00E95CE0">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38DDA" w14:textId="77777777" w:rsidR="004E6414" w:rsidRDefault="004E6414">
      <w:r>
        <w:separator/>
      </w:r>
    </w:p>
  </w:footnote>
  <w:footnote w:type="continuationSeparator" w:id="0">
    <w:p w14:paraId="5DDC0551" w14:textId="77777777" w:rsidR="004E6414" w:rsidRDefault="004E6414">
      <w:r>
        <w:continuationSeparator/>
      </w:r>
    </w:p>
  </w:footnote>
  <w:footnote w:id="1">
    <w:p w14:paraId="1BF76451"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E95CE0" w:rsidRPr="00095236" w:rsidRDefault="00E95CE0"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E95CE0" w:rsidRPr="00095236" w:rsidRDefault="00E95CE0"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w zależności od formy zawarcia Umowy.</w:t>
      </w:r>
    </w:p>
  </w:footnote>
  <w:footnote w:id="4">
    <w:p w14:paraId="5A1045D2"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formę dokumentu.</w:t>
      </w:r>
    </w:p>
  </w:footnote>
  <w:footnote w:id="6">
    <w:p w14:paraId="444AEC6F"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formę dokumentu.</w:t>
      </w:r>
    </w:p>
  </w:footnote>
  <w:footnote w:id="8">
    <w:p w14:paraId="24070E3B" w14:textId="77777777" w:rsidR="00E95CE0" w:rsidRPr="00095236" w:rsidRDefault="00E95CE0"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E95CE0" w:rsidRPr="00095236" w:rsidRDefault="00E95CE0"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11">
    <w:p w14:paraId="4F9BA40B" w14:textId="538536E2" w:rsidR="00E95CE0" w:rsidRPr="00095236" w:rsidRDefault="00E95CE0"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Pr="00095236">
        <w:rPr>
          <w:rFonts w:ascii="Open Sans" w:hAnsi="Open Sans" w:cs="Open Sans"/>
        </w:rPr>
        <w:t>Należy wykreślić jeśli nie dotyczy.</w:t>
      </w:r>
      <w:bookmarkEnd w:id="14"/>
    </w:p>
  </w:footnote>
  <w:footnote w:id="12">
    <w:p w14:paraId="2F25427B" w14:textId="0C12A1DD" w:rsidR="00E95CE0" w:rsidRPr="00095236" w:rsidRDefault="00E95CE0"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Należy wykreślić jeśli nie dotyczy.</w:t>
      </w:r>
    </w:p>
  </w:footnote>
  <w:footnote w:id="13">
    <w:p w14:paraId="7AB6A5E2" w14:textId="63DCA0C6" w:rsidR="00E95CE0" w:rsidRPr="00095236" w:rsidRDefault="00E95CE0"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Należy wykreślić, jeżeli w ocenie IP załącznik w postaci papierowej nie jest wymagany.</w:t>
      </w:r>
    </w:p>
  </w:footnote>
  <w:footnote w:id="14">
    <w:p w14:paraId="41C4F052" w14:textId="58192E73" w:rsidR="00E95CE0" w:rsidRPr="00095236" w:rsidRDefault="00E95CE0"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Należy pozostawić postanowienie, dla którego data jest późniejsza.</w:t>
      </w:r>
    </w:p>
  </w:footnote>
  <w:footnote w:id="15">
    <w:p w14:paraId="7F4E3015" w14:textId="12B57BF4" w:rsidR="00E95CE0" w:rsidRPr="00095236" w:rsidRDefault="00E95CE0"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E95CE0" w:rsidRPr="00095236" w:rsidRDefault="00E95CE0"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E95CE0" w:rsidRPr="00095236" w:rsidRDefault="00E95CE0"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E95CE0" w:rsidRPr="00095236" w:rsidRDefault="00E95CE0"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E95CE0" w:rsidRPr="00095236" w:rsidRDefault="00E95CE0"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Beneficjent posiada odrębne rachunki bankowe: dla potrzeb przekazywania zaliczki w formie dotacji celowej oraz dla potrzeb przekazywania zaliczki w formie płatności.</w:t>
      </w:r>
    </w:p>
  </w:footnote>
  <w:footnote w:id="21">
    <w:p w14:paraId="28F2B3BA" w14:textId="5C51F851"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Beneficjent posiada jeden rachunek bankowy dla przekazywania zaliczki.</w:t>
      </w:r>
    </w:p>
  </w:footnote>
  <w:footnote w:id="22">
    <w:p w14:paraId="01E5B1BA" w14:textId="77777777" w:rsidR="00E95CE0" w:rsidRPr="00095236" w:rsidRDefault="00E95CE0"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E95CE0" w:rsidRPr="00095236" w:rsidRDefault="00E95CE0"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E95CE0" w:rsidRPr="00095236" w:rsidRDefault="00E95CE0"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E95CE0" w:rsidRPr="00095236" w:rsidRDefault="00E95CE0"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właściwe przepisy KPON, zgodnie z przeprowadzoną przez IP analizą oraz specyfiką Projektu.</w:t>
      </w:r>
    </w:p>
  </w:footnote>
  <w:footnote w:id="27">
    <w:p w14:paraId="6BEDE778" w14:textId="02F40EA6" w:rsidR="00E95CE0" w:rsidRPr="00095236" w:rsidRDefault="00E95CE0"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właściwe przepisy KPP, zgodnie z przeprowadzoną przez IP analizą oraz specyfiką Projektu.</w:t>
      </w:r>
    </w:p>
  </w:footnote>
  <w:footnote w:id="28">
    <w:p w14:paraId="5A19B4E9" w14:textId="18356A3D" w:rsidR="00E95CE0" w:rsidRPr="00095236" w:rsidRDefault="00E95CE0"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Pojęcie „wszczęcia postępowania” jest rozumiane w taki sposób, w jaki definiują je właściwe </w:t>
      </w:r>
      <w:r w:rsidRPr="00095236">
        <w:rPr>
          <w:rFonts w:ascii="Open Sans" w:hAnsi="Open Sans" w:cs="Open Sans"/>
          <w:i/>
        </w:rPr>
        <w:t>Wytyczne dotyczące kwalifikowalności wydatków na lata 2021-2027</w:t>
      </w:r>
      <w:r w:rsidRPr="00095236">
        <w:rPr>
          <w:rFonts w:ascii="Open Sans" w:hAnsi="Open Sans" w:cs="Open Sans"/>
        </w:rPr>
        <w:t>.</w:t>
      </w:r>
    </w:p>
  </w:footnote>
  <w:footnote w:id="29">
    <w:p w14:paraId="16BF9139" w14:textId="7A308625"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E95CE0" w:rsidRPr="00095236" w:rsidRDefault="00E95CE0" w:rsidP="005A655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95CE0" w:rsidRPr="00095236" w:rsidRDefault="00E95CE0"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E95CE0" w:rsidRPr="00095236" w:rsidRDefault="00E95CE0"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E95CE0" w:rsidRPr="00095236" w:rsidRDefault="00E95CE0"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 lub uchylenia tych decyzji.</w:t>
      </w:r>
    </w:p>
  </w:footnote>
  <w:footnote w:id="37">
    <w:p w14:paraId="627686DD" w14:textId="77777777" w:rsidR="00E95CE0" w:rsidRPr="00095236" w:rsidRDefault="00E95CE0"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E95CE0" w:rsidRPr="00095236" w:rsidRDefault="00E95CE0"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E95CE0" w:rsidRPr="00095236" w:rsidRDefault="00E95CE0"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E95CE0" w:rsidRPr="00095236" w:rsidRDefault="00E95CE0"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42">
    <w:p w14:paraId="24641769" w14:textId="6EB26D4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ustęp jeżeli nie dotyczy.</w:t>
      </w:r>
    </w:p>
  </w:footnote>
  <w:footnote w:id="43">
    <w:p w14:paraId="636C5B80" w14:textId="77777777" w:rsidR="00E95CE0" w:rsidRPr="00095236" w:rsidRDefault="00E95CE0"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E95CE0" w:rsidRPr="00095236" w:rsidRDefault="00E95CE0"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wyrażenie „z zastrzeżeniem ust. 5” w przypadku wykreślenia ust. 5 z powodu braku zastosowania.</w:t>
      </w:r>
    </w:p>
  </w:footnote>
  <w:footnote w:id="46">
    <w:p w14:paraId="68DB7CEE" w14:textId="5C778D94"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 przypadku wystąpienia pomocy publicznej.</w:t>
      </w:r>
    </w:p>
  </w:footnote>
  <w:footnote w:id="47">
    <w:p w14:paraId="4754A50E" w14:textId="481D5782" w:rsidR="00E95CE0" w:rsidRPr="00095236" w:rsidRDefault="00E95CE0"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bookmarkEnd w:id="57"/>
    </w:p>
  </w:footnote>
  <w:footnote w:id="48">
    <w:p w14:paraId="154CE7D3" w14:textId="717F4087" w:rsidR="00E95CE0" w:rsidRPr="00095236" w:rsidRDefault="00E95CE0"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E95CE0" w:rsidRPr="00095236" w:rsidRDefault="00E95CE0"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Warunki kwalifikowalności określone postanowieniami regulaminu wyboru projektów,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E95CE0" w:rsidRPr="00095236" w:rsidRDefault="00E95CE0"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dla których VAT stanowi wydatek niekwalifikowalny, zgodnie z treścią regulaminu wyboru projektów lub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(wykreślić jeśli nie dotyczy).</w:t>
      </w:r>
    </w:p>
  </w:footnote>
  <w:footnote w:id="51">
    <w:p w14:paraId="72A47D28" w14:textId="79210556" w:rsidR="00E95CE0" w:rsidRPr="00095236" w:rsidRDefault="00E95CE0"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Style w:val="Odwoanieprzypisudolnego"/>
          <w:rFonts w:ascii="Open Sans" w:hAnsi="Open Sans" w:cs="Open Sans"/>
        </w:rPr>
        <w:footnoteRef/>
      </w:r>
      <w:r w:rsidRPr="00095236">
        <w:rPr>
          <w:rFonts w:ascii="Open Sans" w:hAnsi="Open Sans" w:cs="Open Sans"/>
        </w:rPr>
        <w:t xml:space="preserve">Postanowienie dotyczy projektów, dla których VAT stanowi wydatek kwalifikowalny, zgodnie z treścią regulaminu wyboru projektów lub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(wykreślić jeśli nie dotyczy). </w:t>
      </w:r>
    </w:p>
    <w:bookmarkStart w:id="61" w:name="_Hlk121908283"/>
    <w:bookmarkEnd w:id="61"/>
  </w:footnote>
  <w:footnote w:id="52">
    <w:p w14:paraId="2B62547B" w14:textId="12938A65" w:rsidR="00E95CE0" w:rsidRPr="00095236" w:rsidRDefault="00E95CE0"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 z </w:t>
      </w:r>
      <w:proofErr w:type="spellStart"/>
      <w:r w:rsidRPr="00095236">
        <w:rPr>
          <w:rFonts w:ascii="Open Sans" w:hAnsi="Open Sans" w:cs="Open Sans"/>
        </w:rPr>
        <w:t>późn</w:t>
      </w:r>
      <w:proofErr w:type="spellEnd"/>
      <w:r w:rsidRPr="00095236">
        <w:rPr>
          <w:rFonts w:ascii="Open Sans" w:hAnsi="Open Sans" w:cs="Open Sans"/>
        </w:rPr>
        <w:t>. zm.), sytuacje takie zostały przewidziane w art. 86 ust. 2a, art. 86 ust. 7b oraz art. 90 ust 1 i 2 tejże ustawy.</w:t>
      </w:r>
    </w:p>
  </w:footnote>
  <w:footnote w:id="53">
    <w:p w14:paraId="764FAA5A" w14:textId="4ED5653A" w:rsidR="00E95CE0" w:rsidRPr="00095236" w:rsidRDefault="00E95CE0"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Wdrażająca podejmuje decyzję o wyborze jednego z dwóch zaproponowanych rozwiązań na etapie regulaminu wyboru projektów.</w:t>
      </w:r>
    </w:p>
  </w:footnote>
  <w:footnote w:id="54">
    <w:p w14:paraId="0B4A8E7D" w14:textId="6566E32F" w:rsidR="00E95CE0" w:rsidRPr="00095236" w:rsidRDefault="00E95CE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E95CE0" w:rsidRPr="00095236" w:rsidRDefault="00E95CE0">
      <w:pPr>
        <w:rPr>
          <w:rFonts w:ascii="Open Sans" w:hAnsi="Open Sans" w:cs="Open Sans"/>
        </w:rPr>
      </w:pPr>
      <w:bookmarkStart w:id="65" w:name="_Hlk120624443"/>
      <w:bookmarkEnd w:id="65"/>
    </w:p>
    <w:p w14:paraId="4649003E" w14:textId="77777777" w:rsidR="00E95CE0" w:rsidRPr="00095236" w:rsidRDefault="00E95CE0" w:rsidP="00001A90">
      <w:pPr>
        <w:pStyle w:val="Tekstprzypisudolnego"/>
        <w:rPr>
          <w:rFonts w:ascii="Open Sans" w:hAnsi="Open Sans" w:cs="Open Sans"/>
        </w:rPr>
      </w:pPr>
    </w:p>
  </w:footnote>
  <w:footnote w:id="56">
    <w:p w14:paraId="7743A04A" w14:textId="16BFBB1D" w:rsidR="00E95CE0" w:rsidRPr="00095236" w:rsidRDefault="00E95CE0"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Koszty pośrednie są kwalifikowalne/niekwalifikowalne (niewłaściwe usunąć)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 przypadku </w:t>
      </w:r>
      <w:proofErr w:type="spellStart"/>
      <w:r w:rsidRPr="00095236">
        <w:rPr>
          <w:rFonts w:ascii="Open Sans" w:hAnsi="Open Sans" w:cs="Open Sans"/>
        </w:rPr>
        <w:t>niekwalifikowalności</w:t>
      </w:r>
      <w:proofErr w:type="spellEnd"/>
      <w:r w:rsidRPr="00095236">
        <w:rPr>
          <w:rFonts w:ascii="Open Sans" w:hAnsi="Open Sans" w:cs="Open Sans"/>
        </w:rPr>
        <w:t xml:space="preserve"> kosztów pośrednich ust. 16 i 17 należy wykreślić. </w:t>
      </w:r>
    </w:p>
  </w:footnote>
  <w:footnote w:id="58">
    <w:p w14:paraId="74BAFFB7" w14:textId="77777777"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0">
    <w:p w14:paraId="739C04F7" w14:textId="46324CCB"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1">
    <w:p w14:paraId="4377747C" w14:textId="7C26779D"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2">
    <w:p w14:paraId="58BCA385" w14:textId="65E1BC4C"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63">
    <w:p w14:paraId="3D19F406" w14:textId="77777777" w:rsidR="00E95CE0" w:rsidRPr="00095236" w:rsidRDefault="00E95CE0"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E95CE0" w:rsidRPr="00095236" w:rsidRDefault="00E95CE0"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E95CE0" w:rsidRPr="00095236" w:rsidRDefault="00E95CE0"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p>
  </w:footnote>
  <w:footnote w:id="66">
    <w:p w14:paraId="41C6AA76" w14:textId="77777777" w:rsidR="00E95CE0" w:rsidRPr="00095236" w:rsidRDefault="00E95CE0"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E95CE0" w:rsidRPr="00095236" w:rsidRDefault="00E95CE0"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72">
    <w:p w14:paraId="604CB918" w14:textId="77777777" w:rsidR="00E95CE0" w:rsidRPr="00095236" w:rsidRDefault="00E95CE0"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E95CE0" w:rsidRPr="00095236" w:rsidRDefault="00E95CE0"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E95CE0" w:rsidRPr="00095236" w:rsidRDefault="00E95CE0"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E95CE0" w:rsidRPr="00095236" w:rsidRDefault="00E95CE0"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zawarcia umowy o dofinansowanie.</w:t>
      </w:r>
    </w:p>
  </w:footnote>
  <w:footnote w:id="76">
    <w:p w14:paraId="72CAC206" w14:textId="0065D93F" w:rsidR="00E95CE0" w:rsidRPr="00095236" w:rsidRDefault="00E95CE0"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 </w:t>
      </w:r>
      <w:hyperlink r:id="rId2" w:history="1">
        <w:r w:rsidRPr="00095236">
          <w:rPr>
            <w:rStyle w:val="Hipercze"/>
            <w:rFonts w:ascii="Open Sans" w:hAnsi="Open Sans" w:cs="Open Sans"/>
            <w:color w:val="auto"/>
          </w:rPr>
          <w:t>(Dz. Urz. UE L 248 z 24.09.2015, str. 9)</w:t>
        </w:r>
      </w:hyperlink>
      <w:r w:rsidRPr="00095236">
        <w:rPr>
          <w:rFonts w:ascii="Open Sans" w:hAnsi="Open Sans" w:cs="Open Sans"/>
        </w:rPr>
        <w:t>.</w:t>
      </w:r>
    </w:p>
  </w:footnote>
  <w:footnote w:id="77">
    <w:p w14:paraId="670309C9" w14:textId="1E0CC0F5"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Pr="00095236">
        <w:rPr>
          <w:rFonts w:ascii="Open Sans" w:hAnsi="Open Sans" w:cs="Open Sans"/>
        </w:rPr>
        <w:t>.</w:t>
      </w:r>
    </w:p>
  </w:footnote>
  <w:footnote w:id="78">
    <w:p w14:paraId="215B514C" w14:textId="683475C1" w:rsidR="00E95CE0" w:rsidRPr="00095236" w:rsidRDefault="00E95CE0"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 § 5 ust. 2 Umowy.</w:t>
      </w:r>
    </w:p>
  </w:footnote>
  <w:footnote w:id="79">
    <w:p w14:paraId="14C68E1E" w14:textId="77777777" w:rsidR="00E95CE0" w:rsidRPr="00095236" w:rsidRDefault="00E95CE0"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E95CE0" w:rsidRPr="00095236" w:rsidRDefault="00E95CE0"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E95CE0" w:rsidRPr="00095236" w:rsidRDefault="00E95CE0"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E95CE0" w:rsidRPr="00095236" w:rsidRDefault="00E95CE0" w:rsidP="00A81285">
      <w:pPr>
        <w:pStyle w:val="Tekstprzypisudolnego"/>
        <w:numPr>
          <w:ilvl w:val="0"/>
          <w:numId w:val="76"/>
        </w:numPr>
        <w:jc w:val="both"/>
        <w:rPr>
          <w:rFonts w:ascii="Open Sans" w:hAnsi="Open Sans" w:cs="Open Sans"/>
        </w:rPr>
      </w:pPr>
      <w:r w:rsidRPr="00095236">
        <w:rPr>
          <w:rFonts w:ascii="Open Sans" w:hAnsi="Open Sans" w:cs="Open Sans"/>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 Umowy</w:t>
      </w:r>
    </w:p>
    <w:p w14:paraId="7438295F" w14:textId="77777777" w:rsidR="00E95CE0" w:rsidRPr="00095236" w:rsidRDefault="00E95CE0"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E95CE0" w:rsidRPr="00095236" w:rsidRDefault="00E95CE0"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95CE0" w:rsidRPr="00095236" w:rsidRDefault="00E95CE0"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E95CE0" w:rsidRPr="00095236" w:rsidRDefault="00E95CE0"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E95CE0" w:rsidRPr="00095236" w:rsidRDefault="00E95CE0"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E95CE0" w:rsidRPr="00095236" w:rsidRDefault="00E95CE0"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E95CE0" w:rsidRPr="00095236" w:rsidRDefault="00E95CE0"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E95CE0" w:rsidRPr="00095236" w:rsidRDefault="00E95CE0"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E95CE0" w:rsidRPr="00095236" w:rsidRDefault="00E95CE0"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E95CE0" w:rsidRPr="00095236" w:rsidRDefault="00E95CE0"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E95CE0" w:rsidRPr="00095236" w:rsidRDefault="00E95CE0"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E95CE0" w:rsidRPr="00095236" w:rsidRDefault="00E95CE0"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xml:space="preserve">, to wykonuje obowiązek informacyjny o którym mowa § 21 ust. 17 pkt 3 zgodnie z art. 13 ust. 3 </w:t>
      </w:r>
      <w:bookmarkStart w:id="131" w:name="_Hlk133306492"/>
      <w:r w:rsidRPr="00095236">
        <w:rPr>
          <w:rFonts w:ascii="Open Sans" w:hAnsi="Open Sans" w:cs="Open Sans"/>
        </w:rPr>
        <w:t xml:space="preserve">lub - w niektórych przypadkach – art. 14 </w:t>
      </w:r>
      <w:bookmarkEnd w:id="131"/>
      <w:r w:rsidRPr="00095236">
        <w:rPr>
          <w:rFonts w:ascii="Open Sans" w:hAnsi="Open Sans" w:cs="Open Sans"/>
        </w:rPr>
        <w:t>ogólnego rozporządzenia o ochronie danych.</w:t>
      </w:r>
    </w:p>
  </w:footnote>
  <w:footnote w:id="100">
    <w:p w14:paraId="5C2A5C88" w14:textId="77777777" w:rsidR="00E95CE0" w:rsidRPr="00095236" w:rsidRDefault="00E95CE0"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E95CE0" w:rsidRPr="00095236" w:rsidRDefault="00E95CE0"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02">
    <w:p w14:paraId="1CFAF0B9" w14:textId="77777777" w:rsidR="00E95CE0" w:rsidRPr="00095236" w:rsidRDefault="00E95CE0"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E95CE0" w:rsidRPr="00095236" w:rsidRDefault="00E95CE0"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E95CE0" w:rsidRPr="00095236" w:rsidRDefault="00E95CE0"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w:t>
      </w:r>
    </w:p>
  </w:footnote>
  <w:footnote w:id="110">
    <w:p w14:paraId="3E8D1A67" w14:textId="77777777" w:rsidR="00E95CE0" w:rsidRPr="00095236" w:rsidRDefault="00E95CE0"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E95CE0" w:rsidRPr="00095236" w:rsidRDefault="00E95CE0"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931112139">
    <w:abstractNumId w:val="19"/>
  </w:num>
  <w:num w:numId="2" w16cid:durableId="531310635">
    <w:abstractNumId w:val="80"/>
  </w:num>
  <w:num w:numId="3" w16cid:durableId="1960988337">
    <w:abstractNumId w:val="45"/>
  </w:num>
  <w:num w:numId="4" w16cid:durableId="353927119">
    <w:abstractNumId w:val="91"/>
  </w:num>
  <w:num w:numId="5" w16cid:durableId="1494685051">
    <w:abstractNumId w:val="79"/>
  </w:num>
  <w:num w:numId="6" w16cid:durableId="135687302">
    <w:abstractNumId w:val="71"/>
  </w:num>
  <w:num w:numId="7" w16cid:durableId="237398516">
    <w:abstractNumId w:val="29"/>
  </w:num>
  <w:num w:numId="8" w16cid:durableId="1042289618">
    <w:abstractNumId w:val="20"/>
  </w:num>
  <w:num w:numId="9" w16cid:durableId="210701402">
    <w:abstractNumId w:val="46"/>
  </w:num>
  <w:num w:numId="10" w16cid:durableId="1654219788">
    <w:abstractNumId w:val="94"/>
  </w:num>
  <w:num w:numId="11" w16cid:durableId="442460689">
    <w:abstractNumId w:val="0"/>
  </w:num>
  <w:num w:numId="12" w16cid:durableId="1914655079">
    <w:abstractNumId w:val="5"/>
  </w:num>
  <w:num w:numId="13" w16cid:durableId="313487149">
    <w:abstractNumId w:val="35"/>
  </w:num>
  <w:num w:numId="14" w16cid:durableId="1788543217">
    <w:abstractNumId w:val="34"/>
  </w:num>
  <w:num w:numId="15" w16cid:durableId="1603756300">
    <w:abstractNumId w:val="87"/>
  </w:num>
  <w:num w:numId="16" w16cid:durableId="1587613730">
    <w:abstractNumId w:val="64"/>
  </w:num>
  <w:num w:numId="17" w16cid:durableId="815754848">
    <w:abstractNumId w:val="2"/>
  </w:num>
  <w:num w:numId="18" w16cid:durableId="1981574842">
    <w:abstractNumId w:val="47"/>
  </w:num>
  <w:num w:numId="19" w16cid:durableId="1916893793">
    <w:abstractNumId w:val="54"/>
  </w:num>
  <w:num w:numId="20" w16cid:durableId="1270697426">
    <w:abstractNumId w:val="33"/>
  </w:num>
  <w:num w:numId="21" w16cid:durableId="253831294">
    <w:abstractNumId w:val="6"/>
  </w:num>
  <w:num w:numId="22" w16cid:durableId="509417339">
    <w:abstractNumId w:val="25"/>
  </w:num>
  <w:num w:numId="23" w16cid:durableId="661859738">
    <w:abstractNumId w:val="48"/>
  </w:num>
  <w:num w:numId="24" w16cid:durableId="1993018788">
    <w:abstractNumId w:val="50"/>
  </w:num>
  <w:num w:numId="25" w16cid:durableId="843087318">
    <w:abstractNumId w:val="93"/>
  </w:num>
  <w:num w:numId="26" w16cid:durableId="355933302">
    <w:abstractNumId w:val="85"/>
  </w:num>
  <w:num w:numId="27" w16cid:durableId="945426366">
    <w:abstractNumId w:val="108"/>
  </w:num>
  <w:num w:numId="28" w16cid:durableId="1597716284">
    <w:abstractNumId w:val="97"/>
  </w:num>
  <w:num w:numId="29" w16cid:durableId="1394424546">
    <w:abstractNumId w:val="49"/>
  </w:num>
  <w:num w:numId="30" w16cid:durableId="666978127">
    <w:abstractNumId w:val="39"/>
  </w:num>
  <w:num w:numId="31" w16cid:durableId="1597405243">
    <w:abstractNumId w:val="67"/>
  </w:num>
  <w:num w:numId="32" w16cid:durableId="1458185747">
    <w:abstractNumId w:val="102"/>
  </w:num>
  <w:num w:numId="33" w16cid:durableId="1230921379">
    <w:abstractNumId w:val="77"/>
  </w:num>
  <w:num w:numId="34" w16cid:durableId="1153913190">
    <w:abstractNumId w:val="109"/>
  </w:num>
  <w:num w:numId="35" w16cid:durableId="619148406">
    <w:abstractNumId w:val="90"/>
  </w:num>
  <w:num w:numId="36" w16cid:durableId="664819301">
    <w:abstractNumId w:val="27"/>
  </w:num>
  <w:num w:numId="37" w16cid:durableId="1949922171">
    <w:abstractNumId w:val="74"/>
  </w:num>
  <w:num w:numId="38" w16cid:durableId="869688733">
    <w:abstractNumId w:val="104"/>
  </w:num>
  <w:num w:numId="39" w16cid:durableId="715394064">
    <w:abstractNumId w:val="4"/>
  </w:num>
  <w:num w:numId="40" w16cid:durableId="794056039">
    <w:abstractNumId w:val="103"/>
  </w:num>
  <w:num w:numId="41" w16cid:durableId="726536762">
    <w:abstractNumId w:val="21"/>
  </w:num>
  <w:num w:numId="42" w16cid:durableId="1196696239">
    <w:abstractNumId w:val="55"/>
  </w:num>
  <w:num w:numId="43" w16cid:durableId="1200899973">
    <w:abstractNumId w:val="82"/>
  </w:num>
  <w:num w:numId="44" w16cid:durableId="607080993">
    <w:abstractNumId w:val="83"/>
  </w:num>
  <w:num w:numId="45" w16cid:durableId="2137138286">
    <w:abstractNumId w:val="72"/>
  </w:num>
  <w:num w:numId="46" w16cid:durableId="3345007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7792982">
    <w:abstractNumId w:val="70"/>
  </w:num>
  <w:num w:numId="48" w16cid:durableId="765198510">
    <w:abstractNumId w:val="92"/>
  </w:num>
  <w:num w:numId="49" w16cid:durableId="1877111030">
    <w:abstractNumId w:val="36"/>
  </w:num>
  <w:num w:numId="50" w16cid:durableId="122618212">
    <w:abstractNumId w:val="53"/>
  </w:num>
  <w:num w:numId="51" w16cid:durableId="7403273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8823943">
    <w:abstractNumId w:val="35"/>
  </w:num>
  <w:num w:numId="53" w16cid:durableId="133977158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03460359">
    <w:abstractNumId w:val="52"/>
  </w:num>
  <w:num w:numId="55" w16cid:durableId="1892221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52587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5171168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466130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190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6244117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8111678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32862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438345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62045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6554128">
    <w:abstractNumId w:val="106"/>
  </w:num>
  <w:num w:numId="66" w16cid:durableId="276527564">
    <w:abstractNumId w:val="51"/>
  </w:num>
  <w:num w:numId="67" w16cid:durableId="959455337">
    <w:abstractNumId w:val="63"/>
  </w:num>
  <w:num w:numId="68" w16cid:durableId="1139373839">
    <w:abstractNumId w:val="101"/>
  </w:num>
  <w:num w:numId="69" w16cid:durableId="646670587">
    <w:abstractNumId w:val="76"/>
  </w:num>
  <w:num w:numId="70" w16cid:durableId="756252066">
    <w:abstractNumId w:val="17"/>
  </w:num>
  <w:num w:numId="71" w16cid:durableId="2059746138">
    <w:abstractNumId w:val="88"/>
  </w:num>
  <w:num w:numId="72" w16cid:durableId="1687101139">
    <w:abstractNumId w:val="69"/>
  </w:num>
  <w:num w:numId="73" w16cid:durableId="1098604255">
    <w:abstractNumId w:val="96"/>
  </w:num>
  <w:num w:numId="74" w16cid:durableId="1745452492">
    <w:abstractNumId w:val="100"/>
  </w:num>
  <w:num w:numId="75" w16cid:durableId="1713187756">
    <w:abstractNumId w:val="75"/>
  </w:num>
  <w:num w:numId="76" w16cid:durableId="2065523401">
    <w:abstractNumId w:val="58"/>
  </w:num>
  <w:num w:numId="77" w16cid:durableId="502358502">
    <w:abstractNumId w:val="37"/>
  </w:num>
  <w:num w:numId="78" w16cid:durableId="169949044">
    <w:abstractNumId w:val="31"/>
  </w:num>
  <w:num w:numId="79" w16cid:durableId="1338770411">
    <w:abstractNumId w:val="14"/>
  </w:num>
  <w:num w:numId="80" w16cid:durableId="835001405">
    <w:abstractNumId w:val="24"/>
  </w:num>
  <w:num w:numId="81" w16cid:durableId="814250914">
    <w:abstractNumId w:val="62"/>
  </w:num>
  <w:num w:numId="82" w16cid:durableId="1466266420">
    <w:abstractNumId w:val="98"/>
  </w:num>
  <w:num w:numId="83" w16cid:durableId="1771008417">
    <w:abstractNumId w:val="1"/>
  </w:num>
  <w:num w:numId="84" w16cid:durableId="341320978">
    <w:abstractNumId w:val="8"/>
  </w:num>
  <w:num w:numId="85" w16cid:durableId="1741517799">
    <w:abstractNumId w:val="38"/>
  </w:num>
  <w:num w:numId="86" w16cid:durableId="1542013807">
    <w:abstractNumId w:val="68"/>
  </w:num>
  <w:num w:numId="87" w16cid:durableId="71663215">
    <w:abstractNumId w:val="56"/>
  </w:num>
  <w:num w:numId="88" w16cid:durableId="598221021">
    <w:abstractNumId w:val="57"/>
  </w:num>
  <w:num w:numId="89" w16cid:durableId="1215659699">
    <w:abstractNumId w:val="60"/>
  </w:num>
  <w:num w:numId="90" w16cid:durableId="1878614371">
    <w:abstractNumId w:val="32"/>
  </w:num>
  <w:num w:numId="91" w16cid:durableId="231430515">
    <w:abstractNumId w:val="89"/>
  </w:num>
  <w:num w:numId="92" w16cid:durableId="670568752">
    <w:abstractNumId w:val="43"/>
  </w:num>
  <w:num w:numId="93" w16cid:durableId="189144637">
    <w:abstractNumId w:val="15"/>
  </w:num>
  <w:num w:numId="94" w16cid:durableId="1881630391">
    <w:abstractNumId w:val="13"/>
  </w:num>
  <w:num w:numId="95" w16cid:durableId="1785146528">
    <w:abstractNumId w:val="44"/>
  </w:num>
  <w:num w:numId="96" w16cid:durableId="261031182">
    <w:abstractNumId w:val="16"/>
  </w:num>
  <w:num w:numId="97" w16cid:durableId="1098915399">
    <w:abstractNumId w:val="18"/>
  </w:num>
  <w:num w:numId="98" w16cid:durableId="1118910995">
    <w:abstractNumId w:val="110"/>
  </w:num>
  <w:num w:numId="99" w16cid:durableId="951982002">
    <w:abstractNumId w:val="107"/>
  </w:num>
  <w:num w:numId="100" w16cid:durableId="953053088">
    <w:abstractNumId w:val="65"/>
  </w:num>
  <w:num w:numId="101" w16cid:durableId="892811831">
    <w:abstractNumId w:val="73"/>
  </w:num>
  <w:num w:numId="102" w16cid:durableId="213006398">
    <w:abstractNumId w:val="41"/>
  </w:num>
  <w:num w:numId="103" w16cid:durableId="555165637">
    <w:abstractNumId w:val="40"/>
  </w:num>
  <w:num w:numId="104" w16cid:durableId="379598788">
    <w:abstractNumId w:val="42"/>
  </w:num>
  <w:num w:numId="105" w16cid:durableId="581987505">
    <w:abstractNumId w:val="84"/>
  </w:num>
  <w:num w:numId="106" w16cid:durableId="2055041437">
    <w:abstractNumId w:val="23"/>
  </w:num>
  <w:num w:numId="107" w16cid:durableId="1534926675">
    <w:abstractNumId w:val="86"/>
  </w:num>
  <w:num w:numId="108" w16cid:durableId="4295436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474881004">
    <w:abstractNumId w:val="95"/>
  </w:num>
  <w:num w:numId="110" w16cid:durableId="2013877712">
    <w:abstractNumId w:val="12"/>
  </w:num>
  <w:num w:numId="111" w16cid:durableId="1898586751">
    <w:abstractNumId w:val="59"/>
  </w:num>
  <w:num w:numId="112" w16cid:durableId="638538835">
    <w:abstractNumId w:val="78"/>
  </w:num>
  <w:num w:numId="113" w16cid:durableId="2654286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384942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14374573">
    <w:abstractNumId w:val="26"/>
  </w:num>
  <w:num w:numId="116" w16cid:durableId="1506096371">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7176825">
    <w:abstractNumId w:val="105"/>
  </w:num>
  <w:num w:numId="118" w16cid:durableId="361905967">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39954076">
    <w:abstractNumId w:val="99"/>
  </w:num>
  <w:num w:numId="120" w16cid:durableId="269749345">
    <w:abstractNumId w:val="81"/>
  </w:num>
  <w:num w:numId="121" w16cid:durableId="1975408363">
    <w:abstractNumId w:val="22"/>
  </w:num>
  <w:num w:numId="122" w16cid:durableId="1172573440">
    <w:abstractNumId w:val="9"/>
  </w:num>
  <w:num w:numId="123" w16cid:durableId="347831544">
    <w:abstractNumId w:val="78"/>
  </w:num>
  <w:num w:numId="124" w16cid:durableId="327758637">
    <w:abstractNumId w:val="7"/>
  </w:num>
  <w:num w:numId="125" w16cid:durableId="768813138">
    <w:abstractNumId w:val="105"/>
  </w:num>
  <w:num w:numId="126" w16cid:durableId="1392577461">
    <w:abstractNumId w:val="11"/>
  </w:num>
  <w:num w:numId="127" w16cid:durableId="2078434039">
    <w:abstractNumId w:val="30"/>
  </w:num>
  <w:num w:numId="128" w16cid:durableId="708410074">
    <w:abstractNumId w:val="10"/>
  </w:num>
  <w:num w:numId="129" w16cid:durableId="2128153615">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921795036">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8D4"/>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87DE9"/>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498"/>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6414"/>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57EE2"/>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0CDC"/>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68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3E1"/>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5CE0"/>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15B480-43AE-431A-AAF4-46B3C04AA449}">
  <ds:schemaRefs>
    <ds:schemaRef ds:uri="http://schemas.openxmlformats.org/officeDocument/2006/bibliography"/>
  </ds:schemaRefs>
</ds:datastoreItem>
</file>

<file path=customXml/itemProps4.xml><?xml version="1.0" encoding="utf-8"?>
<ds:datastoreItem xmlns:ds="http://schemas.openxmlformats.org/officeDocument/2006/customXml" ds:itemID="{88278D3B-F223-4DA4-9D3B-4236134E4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19295</Words>
  <Characters>132544</Characters>
  <Application>Microsoft Office Word</Application>
  <DocSecurity>0</DocSecurity>
  <Lines>1104</Lines>
  <Paragraphs>303</Paragraphs>
  <ScaleCrop>false</ScaleCrop>
  <HeadingPairs>
    <vt:vector size="2" baseType="variant">
      <vt:variant>
        <vt:lpstr>Tytuł</vt:lpstr>
      </vt:variant>
      <vt:variant>
        <vt:i4>1</vt:i4>
      </vt:variant>
    </vt:vector>
  </HeadingPairs>
  <TitlesOfParts>
    <vt:vector size="1" baseType="lpstr">
      <vt:lpstr>załącznik nr 7 RWP Wzór umowy o dofinansowanie</vt:lpstr>
    </vt:vector>
  </TitlesOfParts>
  <Company>MRR</Company>
  <LinksUpToDate>false</LinksUpToDate>
  <CharactersWithSpaces>151536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RWP Wzór umowy o dofinansowanie</dc:title>
  <dc:subject/>
  <dc:creator>jakub_ostalowski</dc:creator>
  <cp:keywords/>
  <dc:description/>
  <cp:lastModifiedBy>Muter Andrzej</cp:lastModifiedBy>
  <cp:revision>7</cp:revision>
  <cp:lastPrinted>2023-06-13T08:47:00Z</cp:lastPrinted>
  <dcterms:created xsi:type="dcterms:W3CDTF">2023-11-02T11:48:00Z</dcterms:created>
  <dcterms:modified xsi:type="dcterms:W3CDTF">2023-11-22T13:36:00Z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